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FB" w:rsidRDefault="005033FB">
      <w:pPr>
        <w:sectPr w:rsidR="005033FB" w:rsidSect="005A2046">
          <w:headerReference w:type="default" r:id="rId7"/>
          <w:footerReference w:type="default" r:id="rId8"/>
          <w:pgSz w:w="11906" w:h="16838"/>
          <w:pgMar w:top="2449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663A6" w:rsidRDefault="00D24053" w:rsidP="00D663A6">
      <w:sdt>
        <w:sdtPr>
          <w:rPr>
            <w:b/>
          </w:rPr>
          <w:alias w:val="Betreff"/>
          <w:tag w:val=""/>
          <w:id w:val="594368657"/>
          <w:placeholder>
            <w:docPart w:val="0B3F6A3716E54358AB306D2501B7747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E22463">
            <w:rPr>
              <w:b/>
            </w:rPr>
            <w:t xml:space="preserve">Pflanzenbauhinweise vom </w:t>
          </w:r>
          <w:r w:rsidR="00474066">
            <w:rPr>
              <w:b/>
            </w:rPr>
            <w:t>1</w:t>
          </w:r>
          <w:r w:rsidR="00C505CD">
            <w:rPr>
              <w:b/>
            </w:rPr>
            <w:t>1</w:t>
          </w:r>
          <w:r w:rsidR="00914E38">
            <w:rPr>
              <w:b/>
            </w:rPr>
            <w:t>.0</w:t>
          </w:r>
          <w:r w:rsidR="00C505CD">
            <w:rPr>
              <w:b/>
            </w:rPr>
            <w:t>4</w:t>
          </w:r>
          <w:r w:rsidR="00C74BCA">
            <w:rPr>
              <w:b/>
            </w:rPr>
            <w:t>.2024</w:t>
          </w:r>
          <w:r w:rsidR="00914E38">
            <w:rPr>
              <w:b/>
            </w:rPr>
            <w:t xml:space="preserve"> (KW </w:t>
          </w:r>
          <w:r w:rsidR="00474066">
            <w:rPr>
              <w:b/>
            </w:rPr>
            <w:t>1</w:t>
          </w:r>
          <w:r w:rsidR="00C505CD">
            <w:rPr>
              <w:b/>
            </w:rPr>
            <w:t>5</w:t>
          </w:r>
          <w:r w:rsidR="00437CC8">
            <w:rPr>
              <w:b/>
            </w:rPr>
            <w:t>)</w:t>
          </w:r>
        </w:sdtContent>
      </w:sdt>
    </w:p>
    <w:p w:rsidR="00CA5167" w:rsidRDefault="00CA5167" w:rsidP="00D663A6"/>
    <w:p w:rsidR="00BB0EBB" w:rsidRDefault="00E22463" w:rsidP="00437CC8">
      <w:pPr>
        <w:jc w:val="both"/>
        <w:rPr>
          <w:rStyle w:val="markedcontent"/>
          <w:rFonts w:asciiTheme="minorHAnsi" w:hAnsiTheme="minorHAnsi" w:cstheme="minorHAnsi"/>
          <w:b/>
        </w:rPr>
      </w:pPr>
      <w:r w:rsidRPr="00437CC8">
        <w:rPr>
          <w:rStyle w:val="markedcontent"/>
          <w:rFonts w:asciiTheme="minorHAnsi" w:hAnsiTheme="minorHAnsi" w:cstheme="minorHAnsi"/>
          <w:b/>
        </w:rPr>
        <w:t>Winterraps</w:t>
      </w:r>
    </w:p>
    <w:p w:rsidR="00D954F2" w:rsidRDefault="00AC7DD7" w:rsidP="007D072B">
      <w:pPr>
        <w:jc w:val="both"/>
        <w:rPr>
          <w:rStyle w:val="markedcontent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warme Witterung der vergangenen Wochen hat zu einem frühen Blühbeginn geführt. Der </w:t>
      </w:r>
      <w:proofErr w:type="spellStart"/>
      <w:r>
        <w:rPr>
          <w:rFonts w:asciiTheme="minorHAnsi" w:hAnsiTheme="minorHAnsi" w:cstheme="minorHAnsi"/>
        </w:rPr>
        <w:t>Zuflug</w:t>
      </w:r>
      <w:proofErr w:type="spellEnd"/>
      <w:r>
        <w:rPr>
          <w:rFonts w:asciiTheme="minorHAnsi" w:hAnsiTheme="minorHAnsi" w:cstheme="minorHAnsi"/>
        </w:rPr>
        <w:t xml:space="preserve"> an Schädlingen insbesondere des Glanzkäfers hat je nach Standort stark differiert. Mancherorts wurde die erste </w:t>
      </w:r>
      <w:proofErr w:type="spellStart"/>
      <w:r>
        <w:rPr>
          <w:rFonts w:asciiTheme="minorHAnsi" w:hAnsiTheme="minorHAnsi" w:cstheme="minorHAnsi"/>
        </w:rPr>
        <w:t>Insektizidmaßnahme</w:t>
      </w:r>
      <w:proofErr w:type="spellEnd"/>
      <w:r>
        <w:rPr>
          <w:rFonts w:asciiTheme="minorHAnsi" w:hAnsiTheme="minorHAnsi" w:cstheme="minorHAnsi"/>
        </w:rPr>
        <w:t xml:space="preserve"> gegen den Glanzkäfer zu früh durchgeführt (ca. 20. März). In vielen Fällen wurde die Bekämpfungsschwelle bei wieder milden Temperaturen in der Karwoche erreicht. </w:t>
      </w:r>
    </w:p>
    <w:p w:rsidR="00D954F2" w:rsidRDefault="00D954F2" w:rsidP="007D072B">
      <w:pPr>
        <w:jc w:val="both"/>
        <w:rPr>
          <w:rStyle w:val="markedcontent"/>
          <w:rFonts w:asciiTheme="minorHAnsi" w:hAnsiTheme="minorHAnsi" w:cstheme="minorHAnsi"/>
        </w:rPr>
      </w:pPr>
    </w:p>
    <w:p w:rsidR="00EE561B" w:rsidRDefault="00EE561B" w:rsidP="007D072B">
      <w:pPr>
        <w:jc w:val="both"/>
        <w:rPr>
          <w:rStyle w:val="markedcontent"/>
          <w:rFonts w:asciiTheme="minorHAnsi" w:hAnsiTheme="minorHAnsi" w:cstheme="minorHAnsi"/>
          <w:b/>
        </w:rPr>
      </w:pPr>
      <w:r w:rsidRPr="00EE561B">
        <w:rPr>
          <w:rStyle w:val="markedcontent"/>
          <w:rFonts w:asciiTheme="minorHAnsi" w:hAnsiTheme="minorHAnsi" w:cstheme="minorHAnsi"/>
          <w:b/>
        </w:rPr>
        <w:t xml:space="preserve">Wintergetreide </w:t>
      </w:r>
    </w:p>
    <w:p w:rsidR="00EE561B" w:rsidRDefault="00EE561B" w:rsidP="007D072B">
      <w:p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Allgemein haben sich die Bestände gut entwickelt. </w:t>
      </w:r>
      <w:r w:rsidR="00C505CD">
        <w:rPr>
          <w:rStyle w:val="markedcontent"/>
          <w:rFonts w:asciiTheme="minorHAnsi" w:hAnsiTheme="minorHAnsi" w:cstheme="minorHAnsi"/>
        </w:rPr>
        <w:t xml:space="preserve">Wir befinden uns aktuell beim </w:t>
      </w:r>
      <w:r w:rsidR="00C505CD" w:rsidRPr="00A008B4">
        <w:rPr>
          <w:rStyle w:val="markedcontent"/>
          <w:rFonts w:asciiTheme="minorHAnsi" w:hAnsiTheme="minorHAnsi" w:cstheme="minorHAnsi"/>
          <w:b/>
        </w:rPr>
        <w:t>Weizen</w:t>
      </w:r>
      <w:r w:rsidR="00C505CD">
        <w:rPr>
          <w:rStyle w:val="markedcontent"/>
          <w:rFonts w:asciiTheme="minorHAnsi" w:hAnsiTheme="minorHAnsi" w:cstheme="minorHAnsi"/>
        </w:rPr>
        <w:t xml:space="preserve"> in EC 31 &amp; bei der Wintergerste in EC 32. Beim Weizen wurden erste Infektionen von </w:t>
      </w:r>
      <w:proofErr w:type="spellStart"/>
      <w:r w:rsidR="00C505CD">
        <w:rPr>
          <w:rStyle w:val="markedcontent"/>
          <w:rFonts w:asciiTheme="minorHAnsi" w:hAnsiTheme="minorHAnsi" w:cstheme="minorHAnsi"/>
        </w:rPr>
        <w:t>Septoria</w:t>
      </w:r>
      <w:proofErr w:type="spellEnd"/>
      <w:r w:rsidR="00C505CD">
        <w:rPr>
          <w:rStyle w:val="markedcontent"/>
          <w:rFonts w:asciiTheme="minorHAnsi" w:hAnsiTheme="minorHAnsi" w:cstheme="minorHAnsi"/>
        </w:rPr>
        <w:t xml:space="preserve"> auf den unteren Blattetagen gefunden. Diese sind kaum ertragsrelevant. Wichtig ist die obersten 3 Blätter zu schützen </w:t>
      </w:r>
      <w:r w:rsidR="004E4998">
        <w:rPr>
          <w:rStyle w:val="markedcontent"/>
          <w:rFonts w:asciiTheme="minorHAnsi" w:hAnsiTheme="minorHAnsi" w:cstheme="minorHAnsi"/>
        </w:rPr>
        <w:t xml:space="preserve">bis </w:t>
      </w:r>
      <w:r w:rsidR="00C505CD">
        <w:rPr>
          <w:rStyle w:val="markedcontent"/>
          <w:rFonts w:asciiTheme="minorHAnsi" w:hAnsiTheme="minorHAnsi" w:cstheme="minorHAnsi"/>
        </w:rPr>
        <w:t xml:space="preserve">F-2. </w:t>
      </w:r>
    </w:p>
    <w:p w:rsidR="004E4998" w:rsidRDefault="004E4998" w:rsidP="007D072B">
      <w:p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Optimale </w:t>
      </w:r>
      <w:proofErr w:type="spellStart"/>
      <w:r>
        <w:rPr>
          <w:rStyle w:val="markedcontent"/>
          <w:rFonts w:asciiTheme="minorHAnsi" w:hAnsiTheme="minorHAnsi" w:cstheme="minorHAnsi"/>
        </w:rPr>
        <w:t>Septoria</w:t>
      </w:r>
      <w:proofErr w:type="spellEnd"/>
      <w:r>
        <w:rPr>
          <w:rStyle w:val="markedcontent"/>
          <w:rFonts w:asciiTheme="minorHAnsi" w:hAnsiTheme="minorHAnsi" w:cstheme="minorHAnsi"/>
        </w:rPr>
        <w:t>-Infektionsbedingungen sind gegeben:</w:t>
      </w:r>
    </w:p>
    <w:p w:rsidR="004E4998" w:rsidRDefault="004E4998" w:rsidP="004E4998">
      <w:pPr>
        <w:pStyle w:val="Listenabsatz"/>
        <w:numPr>
          <w:ilvl w:val="0"/>
          <w:numId w:val="12"/>
        </w:num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Ab EC 31/32</w:t>
      </w:r>
    </w:p>
    <w:p w:rsidR="004E4998" w:rsidRDefault="004E4998" w:rsidP="004E4998">
      <w:pPr>
        <w:pStyle w:val="Listenabsatz"/>
        <w:numPr>
          <w:ilvl w:val="0"/>
          <w:numId w:val="12"/>
        </w:num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F-2 als das drittletzte, aber bereits ertragsrelevante Blatt ist zu 20% vorhanden</w:t>
      </w:r>
    </w:p>
    <w:p w:rsidR="004E4998" w:rsidRDefault="004E4998" w:rsidP="004E4998">
      <w:pPr>
        <w:pStyle w:val="Listenabsatz"/>
        <w:numPr>
          <w:ilvl w:val="0"/>
          <w:numId w:val="12"/>
        </w:num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Ausgangsbefall im Bestand vorhanden </w:t>
      </w:r>
    </w:p>
    <w:p w:rsidR="004E4998" w:rsidRDefault="004E4998" w:rsidP="004E4998">
      <w:pPr>
        <w:pStyle w:val="Listenabsatz"/>
        <w:numPr>
          <w:ilvl w:val="0"/>
          <w:numId w:val="12"/>
        </w:num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Nach mind. 3 mm Niederschlag</w:t>
      </w:r>
    </w:p>
    <w:p w:rsidR="004E4998" w:rsidRDefault="004E4998" w:rsidP="004E4998">
      <w:pPr>
        <w:pStyle w:val="Listenabsatz"/>
        <w:numPr>
          <w:ilvl w:val="0"/>
          <w:numId w:val="12"/>
        </w:num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Temperaturoptimum bei 19°C</w:t>
      </w:r>
    </w:p>
    <w:p w:rsidR="004E4998" w:rsidRPr="004E4998" w:rsidRDefault="004E4998" w:rsidP="004E4998">
      <w:p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Weitere Infektionen sind vom künftigen Witterungsverlauf abhängig. Aktuell liegen keine Neuinfektionen vor. Hierzu bietet ISIP eine gute Hilfestellung. Gelbrost </w:t>
      </w:r>
      <w:r w:rsidR="000B3B38">
        <w:rPr>
          <w:rStyle w:val="markedcontent"/>
          <w:rFonts w:asciiTheme="minorHAnsi" w:hAnsiTheme="minorHAnsi" w:cstheme="minorHAnsi"/>
        </w:rPr>
        <w:t xml:space="preserve">könnte dieses Jahr wieder eine Rolle spielen. </w:t>
      </w:r>
    </w:p>
    <w:p w:rsidR="00EE561B" w:rsidRPr="00EE561B" w:rsidRDefault="000B3B38" w:rsidP="007D072B">
      <w:p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In der </w:t>
      </w:r>
      <w:r w:rsidRPr="00A008B4">
        <w:rPr>
          <w:rStyle w:val="markedcontent"/>
          <w:rFonts w:asciiTheme="minorHAnsi" w:hAnsiTheme="minorHAnsi" w:cstheme="minorHAnsi"/>
          <w:b/>
        </w:rPr>
        <w:t>Wintergerste</w:t>
      </w:r>
      <w:r>
        <w:rPr>
          <w:rStyle w:val="markedcontent"/>
          <w:rFonts w:asciiTheme="minorHAnsi" w:hAnsiTheme="minorHAnsi" w:cstheme="minorHAnsi"/>
        </w:rPr>
        <w:t xml:space="preserve"> sind Netzflecken und vereinzelt </w:t>
      </w:r>
      <w:proofErr w:type="spellStart"/>
      <w:r>
        <w:rPr>
          <w:rStyle w:val="markedcontent"/>
          <w:rFonts w:asciiTheme="minorHAnsi" w:hAnsiTheme="minorHAnsi" w:cstheme="minorHAnsi"/>
        </w:rPr>
        <w:t>Rynchsporium</w:t>
      </w:r>
      <w:proofErr w:type="spellEnd"/>
      <w:r>
        <w:rPr>
          <w:rStyle w:val="markedcontent"/>
          <w:rFonts w:asciiTheme="minorHAnsi" w:hAnsiTheme="minorHAnsi" w:cstheme="minorHAnsi"/>
        </w:rPr>
        <w:t>- Blattflecken auf den unteren Blattetagen zu finden. Neuinfektionen bei Netzflecken waren aufgrund der Witterung</w:t>
      </w:r>
      <w:r w:rsidR="00A008B4">
        <w:rPr>
          <w:rStyle w:val="markedcontent"/>
          <w:rFonts w:asciiTheme="minorHAnsi" w:hAnsiTheme="minorHAnsi" w:cstheme="minorHAnsi"/>
        </w:rPr>
        <w:t xml:space="preserve"> immer wieder</w:t>
      </w:r>
      <w:r>
        <w:rPr>
          <w:rStyle w:val="markedcontent"/>
          <w:rFonts w:asciiTheme="minorHAnsi" w:hAnsiTheme="minorHAnsi" w:cstheme="minorHAnsi"/>
        </w:rPr>
        <w:t xml:space="preserve"> gegeben. </w:t>
      </w:r>
      <w:r w:rsidR="00A008B4">
        <w:rPr>
          <w:rStyle w:val="markedcontent"/>
          <w:rFonts w:asciiTheme="minorHAnsi" w:hAnsiTheme="minorHAnsi" w:cstheme="minorHAnsi"/>
        </w:rPr>
        <w:t xml:space="preserve">Eine Pauschalaussage lässt sich aufgrund des unterschiedlichen Befalls schwer treffen. Befinden sich jedoch auf den ertragsrelevanten Blättern Symptome von Blattkrankheiten kann eine Fungizid- Maßnahme sinnvoll sein. </w:t>
      </w:r>
    </w:p>
    <w:p w:rsidR="006E541C" w:rsidRDefault="006E541C" w:rsidP="007D072B">
      <w:pPr>
        <w:jc w:val="both"/>
        <w:rPr>
          <w:rStyle w:val="markedcontent"/>
          <w:rFonts w:asciiTheme="minorHAnsi" w:hAnsiTheme="minorHAnsi" w:cstheme="minorHAnsi"/>
        </w:rPr>
      </w:pPr>
    </w:p>
    <w:p w:rsidR="006E541C" w:rsidRDefault="006E541C" w:rsidP="007D072B">
      <w:pPr>
        <w:jc w:val="both"/>
        <w:rPr>
          <w:rStyle w:val="markedcontent"/>
          <w:rFonts w:asciiTheme="minorHAnsi" w:hAnsiTheme="minorHAnsi" w:cstheme="minorHAnsi"/>
          <w:b/>
        </w:rPr>
      </w:pPr>
      <w:r w:rsidRPr="001773CC">
        <w:rPr>
          <w:rStyle w:val="markedcontent"/>
          <w:rFonts w:asciiTheme="minorHAnsi" w:hAnsiTheme="minorHAnsi" w:cstheme="minorHAnsi"/>
          <w:b/>
        </w:rPr>
        <w:t xml:space="preserve">IPS </w:t>
      </w:r>
      <w:r w:rsidR="001773CC" w:rsidRPr="001773CC">
        <w:rPr>
          <w:rStyle w:val="markedcontent"/>
          <w:rFonts w:asciiTheme="minorHAnsi" w:hAnsiTheme="minorHAnsi" w:cstheme="minorHAnsi"/>
          <w:b/>
        </w:rPr>
        <w:t>plus</w:t>
      </w:r>
      <w:r w:rsidR="001773CC">
        <w:rPr>
          <w:rStyle w:val="markedcontent"/>
          <w:rFonts w:asciiTheme="minorHAnsi" w:hAnsiTheme="minorHAnsi" w:cstheme="minorHAnsi"/>
          <w:b/>
        </w:rPr>
        <w:t>:</w:t>
      </w:r>
    </w:p>
    <w:p w:rsidR="003941C4" w:rsidRDefault="001773CC" w:rsidP="001773CC">
      <w:pPr>
        <w:jc w:val="both"/>
        <w:rPr>
          <w:rFonts w:asciiTheme="minorHAnsi" w:hAnsiTheme="minorHAnsi" w:cstheme="minorHAnsi"/>
        </w:rPr>
      </w:pPr>
      <w:r w:rsidRPr="001773CC">
        <w:rPr>
          <w:rFonts w:asciiTheme="minorHAnsi" w:hAnsiTheme="minorHAnsi" w:cstheme="minorHAnsi"/>
        </w:rPr>
        <w:t xml:space="preserve">Zur Einhaltung der landesspezifischen </w:t>
      </w:r>
      <w:r>
        <w:rPr>
          <w:rFonts w:asciiTheme="minorHAnsi" w:hAnsiTheme="minorHAnsi" w:cstheme="minorHAnsi"/>
        </w:rPr>
        <w:t xml:space="preserve">Vorgaben zu den Grundsätzen des </w:t>
      </w:r>
      <w:r w:rsidRPr="001773CC">
        <w:rPr>
          <w:rFonts w:asciiTheme="minorHAnsi" w:hAnsiTheme="minorHAnsi" w:cstheme="minorHAnsi"/>
        </w:rPr>
        <w:t>integrierten Pflanzenschutzes (IPS+) müssen die Fänge in de</w:t>
      </w:r>
      <w:r>
        <w:rPr>
          <w:rFonts w:asciiTheme="minorHAnsi" w:hAnsiTheme="minorHAnsi" w:cstheme="minorHAnsi"/>
        </w:rPr>
        <w:t xml:space="preserve">n Gelbschalen und das Erreichen </w:t>
      </w:r>
      <w:r w:rsidRPr="001773CC">
        <w:rPr>
          <w:rFonts w:asciiTheme="minorHAnsi" w:hAnsiTheme="minorHAnsi" w:cstheme="minorHAnsi"/>
        </w:rPr>
        <w:t>des BRWs dokumentiert werden.</w:t>
      </w:r>
      <w:r w:rsidR="007A4D95">
        <w:rPr>
          <w:rFonts w:asciiTheme="minorHAnsi" w:hAnsiTheme="minorHAnsi" w:cstheme="minorHAnsi"/>
        </w:rPr>
        <w:t xml:space="preserve"> </w:t>
      </w:r>
    </w:p>
    <w:p w:rsidR="00CF071B" w:rsidRDefault="00CF071B" w:rsidP="001773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</w:t>
      </w:r>
      <w:proofErr w:type="spellStart"/>
      <w:r>
        <w:rPr>
          <w:rFonts w:asciiTheme="minorHAnsi" w:hAnsiTheme="minorHAnsi" w:cstheme="minorHAnsi"/>
        </w:rPr>
        <w:t>Herbizidmaßnahmen</w:t>
      </w:r>
      <w:proofErr w:type="spellEnd"/>
      <w:r>
        <w:rPr>
          <w:rFonts w:asciiTheme="minorHAnsi" w:hAnsiTheme="minorHAnsi" w:cstheme="minorHAnsi"/>
        </w:rPr>
        <w:t xml:space="preserve"> im Getreide sollten die Mittel möglichst zielartspezifisch ausgewählt werden.  </w:t>
      </w:r>
    </w:p>
    <w:p w:rsidR="00CF071B" w:rsidRDefault="00CF071B" w:rsidP="00E57E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Anlage eines Spritzfensters (Pflichtmaßnahme)</w:t>
      </w:r>
    </w:p>
    <w:p w:rsidR="00CF071B" w:rsidRPr="00CF071B" w:rsidRDefault="00CF071B" w:rsidP="00CF071B">
      <w:pPr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t>Das Spritzfenster erlaubt durch den Vergleich der behandelten mit der unbehandelten</w:t>
      </w:r>
    </w:p>
    <w:p w:rsidR="00CF071B" w:rsidRPr="00CF071B" w:rsidRDefault="00CF071B" w:rsidP="00CF071B">
      <w:pPr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t>Fläche Rückschlüsse auf die Wirkung einer Pflanzenschutzmaßnahme. Spritzfenster</w:t>
      </w:r>
    </w:p>
    <w:p w:rsidR="00CF071B" w:rsidRPr="00CF071B" w:rsidRDefault="00CF071B" w:rsidP="00CF071B">
      <w:pPr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t>sind wie folgt anzulegen:</w:t>
      </w:r>
    </w:p>
    <w:p w:rsidR="00CF071B" w:rsidRPr="00CF071B" w:rsidRDefault="00CF071B" w:rsidP="00CF071B">
      <w:pPr>
        <w:pStyle w:val="Listenabsatz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t>Ein Spritzfenster pro Bewirtschaftungseinheit idealerweise auf einem</w:t>
      </w:r>
      <w:r>
        <w:rPr>
          <w:rFonts w:asciiTheme="minorHAnsi" w:hAnsiTheme="minorHAnsi" w:cstheme="minorHAnsi"/>
        </w:rPr>
        <w:t xml:space="preserve"> </w:t>
      </w:r>
      <w:r w:rsidRPr="00CF071B">
        <w:rPr>
          <w:rFonts w:asciiTheme="minorHAnsi" w:hAnsiTheme="minorHAnsi" w:cstheme="minorHAnsi"/>
        </w:rPr>
        <w:t>homogenen Teil des Feldes</w:t>
      </w:r>
    </w:p>
    <w:p w:rsidR="00CF071B" w:rsidRPr="00CF071B" w:rsidRDefault="00CF071B" w:rsidP="00CF071B">
      <w:pPr>
        <w:pStyle w:val="Listenabsatz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t>Markieren des Spritzfensters: Beginn und Ende</w:t>
      </w:r>
    </w:p>
    <w:p w:rsidR="00CF071B" w:rsidRPr="00CF071B" w:rsidRDefault="00106C63" w:rsidP="00CF071B">
      <w:pPr>
        <w:pStyle w:val="Listenabsatz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Größe: Länge mindestens 10 m</w:t>
      </w:r>
    </w:p>
    <w:p w:rsidR="00CF071B" w:rsidRPr="00CF071B" w:rsidRDefault="00CF071B" w:rsidP="00CF071B">
      <w:pPr>
        <w:ind w:left="708" w:firstLine="708"/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t>Breite mindestens 2 Teilbreiten des Spritzbalkens (mind. 5 m)</w:t>
      </w:r>
    </w:p>
    <w:p w:rsidR="00CF071B" w:rsidRPr="00CF071B" w:rsidRDefault="00CF071B" w:rsidP="00CF071B">
      <w:pPr>
        <w:ind w:left="708" w:firstLine="708"/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lastRenderedPageBreak/>
        <w:t>bei Hackfrüchten Länge mindestens 5 m</w:t>
      </w:r>
    </w:p>
    <w:p w:rsidR="00CF071B" w:rsidRPr="00CF071B" w:rsidRDefault="00CF071B" w:rsidP="00CF071B">
      <w:pPr>
        <w:pStyle w:val="Listenabsatz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t xml:space="preserve">Zuckerrüben: Alternativ zu einem Spritzfenster bei </w:t>
      </w:r>
      <w:proofErr w:type="spellStart"/>
      <w:r w:rsidRPr="00CF071B">
        <w:rPr>
          <w:rFonts w:asciiTheme="minorHAnsi" w:hAnsiTheme="minorHAnsi" w:cstheme="minorHAnsi"/>
        </w:rPr>
        <w:t>Herbizidmaßnahmen</w:t>
      </w:r>
      <w:proofErr w:type="spellEnd"/>
      <w:r w:rsidRPr="00CF071B">
        <w:rPr>
          <w:rFonts w:asciiTheme="minorHAnsi" w:hAnsiTheme="minorHAnsi" w:cstheme="minorHAnsi"/>
        </w:rPr>
        <w:t xml:space="preserve"> kann</w:t>
      </w:r>
    </w:p>
    <w:p w:rsidR="00CF071B" w:rsidRPr="00CF071B" w:rsidRDefault="00CF071B" w:rsidP="00CF071B">
      <w:pPr>
        <w:ind w:left="1416" w:firstLine="708"/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t xml:space="preserve">eine Dokumentation (per Foto oder </w:t>
      </w:r>
      <w:proofErr w:type="spellStart"/>
      <w:r w:rsidRPr="00CF071B">
        <w:rPr>
          <w:rFonts w:asciiTheme="minorHAnsi" w:hAnsiTheme="minorHAnsi" w:cstheme="minorHAnsi"/>
        </w:rPr>
        <w:t>Bonitur</w:t>
      </w:r>
      <w:proofErr w:type="spellEnd"/>
      <w:r w:rsidRPr="00CF071B">
        <w:rPr>
          <w:rFonts w:asciiTheme="minorHAnsi" w:hAnsiTheme="minorHAnsi" w:cstheme="minorHAnsi"/>
        </w:rPr>
        <w:t xml:space="preserve"> und Aufschrieb)</w:t>
      </w:r>
    </w:p>
    <w:p w:rsidR="00CF071B" w:rsidRPr="00CF071B" w:rsidRDefault="00CF071B" w:rsidP="00CF071B">
      <w:pPr>
        <w:ind w:left="1416" w:firstLine="708"/>
        <w:jc w:val="both"/>
        <w:rPr>
          <w:rFonts w:asciiTheme="minorHAnsi" w:hAnsiTheme="minorHAnsi" w:cstheme="minorHAnsi"/>
        </w:rPr>
      </w:pPr>
      <w:r w:rsidRPr="00CF071B">
        <w:rPr>
          <w:rFonts w:asciiTheme="minorHAnsi" w:hAnsiTheme="minorHAnsi" w:cstheme="minorHAnsi"/>
        </w:rPr>
        <w:t>des Unkrautbesatzes durchgeführt werde</w:t>
      </w:r>
    </w:p>
    <w:p w:rsidR="00E57E26" w:rsidRPr="002A231A" w:rsidRDefault="00E57E26" w:rsidP="00E57E26">
      <w:pPr>
        <w:jc w:val="both"/>
        <w:rPr>
          <w:rFonts w:asciiTheme="minorHAnsi" w:hAnsiTheme="minorHAnsi" w:cstheme="minorHAnsi"/>
          <w:b/>
        </w:rPr>
      </w:pPr>
      <w:r w:rsidRPr="002A231A">
        <w:rPr>
          <w:rFonts w:asciiTheme="minorHAnsi" w:hAnsiTheme="minorHAnsi" w:cstheme="minorHAnsi"/>
          <w:b/>
        </w:rPr>
        <w:t>Wann darf auf das Anlegen eines Spritzfensters verzichtet werden?</w:t>
      </w:r>
    </w:p>
    <w:p w:rsidR="00E57E26" w:rsidRPr="00E57E26" w:rsidRDefault="00E57E26" w:rsidP="00E57E26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57E26">
        <w:rPr>
          <w:rFonts w:asciiTheme="minorHAnsi" w:hAnsiTheme="minorHAnsi" w:cstheme="minorHAnsi"/>
        </w:rPr>
        <w:t xml:space="preserve">Bei sich </w:t>
      </w:r>
      <w:proofErr w:type="spellStart"/>
      <w:r w:rsidRPr="00E57E26">
        <w:rPr>
          <w:rFonts w:asciiTheme="minorHAnsi" w:hAnsiTheme="minorHAnsi" w:cstheme="minorHAnsi"/>
        </w:rPr>
        <w:t>epidemieartig</w:t>
      </w:r>
      <w:proofErr w:type="spellEnd"/>
      <w:r w:rsidRPr="00E57E26">
        <w:rPr>
          <w:rFonts w:asciiTheme="minorHAnsi" w:hAnsiTheme="minorHAnsi" w:cstheme="minorHAnsi"/>
        </w:rPr>
        <w:t xml:space="preserve"> verbreitenden Krankheiten oder Unkräutern (z. B. Kraut- und Knollenfäule der Kartoffel; resistenten Unkräuter)</w:t>
      </w:r>
    </w:p>
    <w:p w:rsidR="00E57E26" w:rsidRPr="00E57E26" w:rsidRDefault="00E57E26" w:rsidP="00E57E26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57E26">
        <w:rPr>
          <w:rFonts w:asciiTheme="minorHAnsi" w:hAnsiTheme="minorHAnsi" w:cstheme="minorHAnsi"/>
        </w:rPr>
        <w:t>Bei gesundheitsgefährdenden (z. B. Ambrosia) oder invasiven Unkräutern</w:t>
      </w:r>
      <w:r>
        <w:rPr>
          <w:rFonts w:asciiTheme="minorHAnsi" w:hAnsiTheme="minorHAnsi" w:cstheme="minorHAnsi"/>
        </w:rPr>
        <w:t xml:space="preserve"> </w:t>
      </w:r>
      <w:r w:rsidRPr="00E57E26">
        <w:rPr>
          <w:rFonts w:asciiTheme="minorHAnsi" w:hAnsiTheme="minorHAnsi" w:cstheme="minorHAnsi"/>
        </w:rPr>
        <w:t>(z. B. Erdmandelgras)</w:t>
      </w:r>
    </w:p>
    <w:p w:rsidR="00E57E26" w:rsidRPr="00E57E26" w:rsidRDefault="00E57E26" w:rsidP="00E57E26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57E26">
        <w:rPr>
          <w:rFonts w:asciiTheme="minorHAnsi" w:hAnsiTheme="minorHAnsi" w:cstheme="minorHAnsi"/>
        </w:rPr>
        <w:t>Saat- und Pflanzgutvermehrungsflächen</w:t>
      </w:r>
    </w:p>
    <w:p w:rsidR="00E57E26" w:rsidRPr="00E57E26" w:rsidRDefault="00E57E26" w:rsidP="00E57E26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57E26">
        <w:rPr>
          <w:rFonts w:asciiTheme="minorHAnsi" w:hAnsiTheme="minorHAnsi" w:cstheme="minorHAnsi"/>
        </w:rPr>
        <w:t>In Sonderfällen nach Freigabe durch die amtliche Beratung</w:t>
      </w:r>
    </w:p>
    <w:p w:rsidR="00BB0EBB" w:rsidRPr="00BB0EBB" w:rsidRDefault="00BB0EBB" w:rsidP="00BB0EBB">
      <w:pPr>
        <w:jc w:val="both"/>
        <w:rPr>
          <w:rFonts w:asciiTheme="minorHAnsi" w:hAnsiTheme="minorHAnsi" w:cstheme="minorHAnsi"/>
        </w:rPr>
      </w:pPr>
    </w:p>
    <w:p w:rsidR="007B3951" w:rsidRPr="007B3951" w:rsidRDefault="007B3951" w:rsidP="007B3951">
      <w:pPr>
        <w:jc w:val="both"/>
        <w:rPr>
          <w:b/>
        </w:rPr>
      </w:pPr>
      <w:r w:rsidRPr="007B3951">
        <w:rPr>
          <w:b/>
        </w:rPr>
        <w:t>Weitere Informationen erhalten Sie unter:</w:t>
      </w:r>
    </w:p>
    <w:p w:rsidR="007F01AD" w:rsidRPr="007B3951" w:rsidRDefault="007B3951" w:rsidP="00D663A6">
      <w:pPr>
        <w:rPr>
          <w:sz w:val="20"/>
          <w:szCs w:val="20"/>
        </w:rPr>
      </w:pPr>
      <w:r w:rsidRPr="007B3951">
        <w:rPr>
          <w:sz w:val="20"/>
          <w:szCs w:val="20"/>
        </w:rPr>
        <w:t>https://ltz.landwirtschaft-bw.de/pb/MLR.LTZ,Lde/Startseite/Service/Broschueren+zum+Pflanzenschutz</w:t>
      </w:r>
    </w:p>
    <w:sectPr w:rsidR="007F01AD" w:rsidRPr="007B3951" w:rsidSect="005A2046">
      <w:headerReference w:type="default" r:id="rId9"/>
      <w:type w:val="continuous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53" w:rsidRDefault="00D24053" w:rsidP="005033FB">
      <w:pPr>
        <w:spacing w:line="240" w:lineRule="auto"/>
      </w:pPr>
      <w:r>
        <w:separator/>
      </w:r>
    </w:p>
  </w:endnote>
  <w:endnote w:type="continuationSeparator" w:id="0">
    <w:p w:rsidR="00D24053" w:rsidRDefault="00D24053" w:rsidP="00503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A6" w:rsidRDefault="00D663A6">
    <w:pPr>
      <w:pStyle w:val="Fuzeile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30409283" wp14:editId="3841885A">
          <wp:simplePos x="0" y="0"/>
          <wp:positionH relativeFrom="page">
            <wp:posOffset>5760720</wp:posOffset>
          </wp:positionH>
          <wp:positionV relativeFrom="page">
            <wp:posOffset>9901555</wp:posOffset>
          </wp:positionV>
          <wp:extent cx="1260000" cy="2160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erlaenderregionBodensee_Logo_Flagge_qu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0000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A1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D608260" wp14:editId="5A767F41">
              <wp:simplePos x="0" y="0"/>
              <wp:positionH relativeFrom="margin">
                <wp:posOffset>0</wp:posOffset>
              </wp:positionH>
              <wp:positionV relativeFrom="topMargin">
                <wp:posOffset>9901555</wp:posOffset>
              </wp:positionV>
              <wp:extent cx="4802400" cy="572400"/>
              <wp:effectExtent l="0" t="0" r="17780" b="18415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2400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D663A6" w:rsidRPr="00640331" w:rsidRDefault="00640331" w:rsidP="00C87127">
                          <w:pPr>
                            <w:pStyle w:val="Fuzeile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40331">
                            <w:rPr>
                              <w:b/>
                              <w:sz w:val="24"/>
                              <w:szCs w:val="24"/>
                            </w:rPr>
                            <w:t>Landwirtschaftsamt Stockach Landwirtschaftliche Erzeugung</w:t>
                          </w:r>
                        </w:p>
                        <w:p w:rsidR="00D663A6" w:rsidRPr="00640331" w:rsidRDefault="00640331" w:rsidP="00C87127">
                          <w:pPr>
                            <w:pStyle w:val="Fuzeile"/>
                            <w:spacing w:before="40"/>
                            <w:rPr>
                              <w:sz w:val="24"/>
                              <w:szCs w:val="24"/>
                            </w:rPr>
                          </w:pPr>
                          <w:r w:rsidRPr="00640331">
                            <w:rPr>
                              <w:sz w:val="24"/>
                              <w:szCs w:val="24"/>
                            </w:rPr>
                            <w:t>Franz Steidle 07531-800 2923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und </w:t>
                          </w:r>
                          <w:r w:rsidRPr="00640331">
                            <w:rPr>
                              <w:sz w:val="24"/>
                              <w:szCs w:val="24"/>
                            </w:rPr>
                            <w:t>Bianca Riester 07531-8002921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08260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779.65pt;width:378.15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" filled="f" stroked="f">
              <v:textbox inset="0,0,0,0">
                <w:txbxContent>
                  <w:p w:rsidR="00D663A6" w:rsidRPr="00640331" w:rsidRDefault="00640331" w:rsidP="00C87127">
                    <w:pPr>
                      <w:pStyle w:val="Fuzeile"/>
                      <w:rPr>
                        <w:b/>
                        <w:sz w:val="24"/>
                        <w:szCs w:val="24"/>
                      </w:rPr>
                    </w:pPr>
                    <w:r w:rsidRPr="00640331">
                      <w:rPr>
                        <w:b/>
                        <w:sz w:val="24"/>
                        <w:szCs w:val="24"/>
                      </w:rPr>
                      <w:t>Landwirtschaftsamt Stockach Landwirtschaftliche Erzeugung</w:t>
                    </w:r>
                  </w:p>
                  <w:p w:rsidR="00D663A6" w:rsidRPr="00640331" w:rsidRDefault="00640331" w:rsidP="00C87127">
                    <w:pPr>
                      <w:pStyle w:val="Fuzeile"/>
                      <w:spacing w:before="40"/>
                      <w:rPr>
                        <w:sz w:val="24"/>
                        <w:szCs w:val="24"/>
                      </w:rPr>
                    </w:pPr>
                    <w:r w:rsidRPr="00640331">
                      <w:rPr>
                        <w:sz w:val="24"/>
                        <w:szCs w:val="24"/>
                      </w:rPr>
                      <w:t>Franz Steidle 07531-800 2923</w:t>
                    </w:r>
                    <w:r>
                      <w:rPr>
                        <w:sz w:val="24"/>
                        <w:szCs w:val="24"/>
                      </w:rPr>
                      <w:t xml:space="preserve"> und </w:t>
                    </w:r>
                    <w:r w:rsidRPr="00640331">
                      <w:rPr>
                        <w:sz w:val="24"/>
                        <w:szCs w:val="24"/>
                      </w:rPr>
                      <w:t>Bianca Riester 07531-8002921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53" w:rsidRDefault="00D24053" w:rsidP="005033FB">
      <w:pPr>
        <w:spacing w:line="240" w:lineRule="auto"/>
      </w:pPr>
      <w:r>
        <w:separator/>
      </w:r>
    </w:p>
  </w:footnote>
  <w:footnote w:type="continuationSeparator" w:id="0">
    <w:p w:rsidR="00D24053" w:rsidRDefault="00D24053" w:rsidP="00503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31" w:rsidRDefault="00640331">
    <w:pPr>
      <w:pStyle w:val="Kopfzeile"/>
      <w:rPr>
        <w:rFonts w:ascii="Rockwell" w:hAnsi="Rockwell" w:cstheme="minorHAnsi"/>
        <w:b/>
      </w:rPr>
    </w:pPr>
  </w:p>
  <w:p w:rsidR="00640331" w:rsidRDefault="00640331">
    <w:pPr>
      <w:pStyle w:val="Kopfzeile"/>
      <w:rPr>
        <w:rFonts w:ascii="Rockwell" w:hAnsi="Rockwell" w:cstheme="minorHAnsi"/>
        <w:b/>
      </w:rPr>
    </w:pPr>
  </w:p>
  <w:p w:rsidR="00D663A6" w:rsidRPr="00640331" w:rsidRDefault="00FC21C2">
    <w:pPr>
      <w:pStyle w:val="Kopfzeile"/>
      <w:rPr>
        <w:rFonts w:ascii="Rockwell" w:hAnsi="Rockwell" w:cstheme="minorHAnsi"/>
        <w:b/>
        <w:color w:val="767171" w:themeColor="background2" w:themeShade="80"/>
        <w:sz w:val="28"/>
        <w:szCs w:val="28"/>
      </w:rPr>
    </w:pPr>
    <w:r w:rsidRPr="00640331">
      <w:rPr>
        <w:rFonts w:ascii="Rockwell" w:hAnsi="Rockwell" w:cstheme="minorHAnsi"/>
        <w:b/>
        <w:noProof/>
        <w:color w:val="767171" w:themeColor="background2" w:themeShade="80"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E0696D" wp14:editId="033980B9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25" name="Gerader Verbinde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C6C6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CB0F23" id="Gerader Verbinder 2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" strokecolor="#6c6c6c" strokeweight="1pt">
              <v:stroke joinstyle="miter"/>
              <w10:wrap anchorx="page" anchory="page"/>
            </v:line>
          </w:pict>
        </mc:Fallback>
      </mc:AlternateContent>
    </w:r>
    <w:r w:rsidR="00D663A6" w:rsidRPr="00640331">
      <w:rPr>
        <w:rFonts w:ascii="Rockwell" w:hAnsi="Rockwell" w:cstheme="minorHAnsi"/>
        <w:b/>
        <w:noProof/>
        <w:color w:val="767171" w:themeColor="background2" w:themeShade="80"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62EE16B7" wp14:editId="62EA5D32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331" w:rsidRPr="00640331">
      <w:rPr>
        <w:rFonts w:ascii="Rockwell" w:hAnsi="Rockwell" w:cstheme="minorHAnsi"/>
        <w:b/>
        <w:color w:val="767171" w:themeColor="background2" w:themeShade="80"/>
        <w:sz w:val="28"/>
        <w:szCs w:val="28"/>
      </w:rPr>
      <w:t>LANDWIRTSCHAFTSAMT STOCKACH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73" w:rsidRDefault="00740D73">
    <w:pPr>
      <w:pStyle w:val="Kopfzeile"/>
    </w:pPr>
  </w:p>
  <w:tbl>
    <w:tblPr>
      <w:tblStyle w:val="Tabellenraster"/>
      <w:tblpPr w:leftFromText="142" w:rightFromText="142" w:vertAnchor="text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9"/>
      <w:gridCol w:w="2041"/>
    </w:tblGrid>
    <w:tr w:rsidR="00740D73" w:rsidTr="00892B20">
      <w:trPr>
        <w:trHeight w:val="1134"/>
      </w:trPr>
      <w:tc>
        <w:tcPr>
          <w:tcW w:w="7569" w:type="dxa"/>
          <w:vAlign w:val="bottom"/>
        </w:tcPr>
        <w:p w:rsidR="00740D73" w:rsidRDefault="00D24053" w:rsidP="00740D73">
          <w:pPr>
            <w:pStyle w:val="Kopfzeile"/>
            <w:ind w:right="1330"/>
          </w:pPr>
          <w:sdt>
            <w:sdtPr>
              <w:rPr>
                <w:b/>
              </w:rPr>
              <w:alias w:val="Betreff"/>
              <w:tag w:val=""/>
              <w:id w:val="-532043676"/>
              <w:placeholder>
                <w:docPart w:val="74B34482E3BA4F7D89C25AE6966B673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r w:rsidR="00C505CD">
                <w:rPr>
                  <w:b/>
                </w:rPr>
                <w:t>Pflanzenbauhinweise vom 11.04.2024 (KW 15)</w:t>
              </w:r>
            </w:sdtContent>
          </w:sdt>
          <w:r w:rsidR="00740D73">
            <w:t xml:space="preserve"> | </w:t>
          </w:r>
          <w:sdt>
            <w:sdtPr>
              <w:alias w:val="Aktenzeichen"/>
              <w:tag w:val=""/>
              <w:id w:val="931170285"/>
              <w:placeholder>
                <w:docPart w:val="25DC784EE131489F8FAC1A5897C428C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5A2046">
                <w:t>AZ: 000</w:t>
              </w:r>
            </w:sdtContent>
          </w:sdt>
        </w:p>
      </w:tc>
      <w:tc>
        <w:tcPr>
          <w:tcW w:w="2041" w:type="dxa"/>
          <w:vAlign w:val="bottom"/>
        </w:tcPr>
        <w:p w:rsidR="00740D73" w:rsidRDefault="00740D73" w:rsidP="004323D6">
          <w:pPr>
            <w:spacing w:line="300" w:lineRule="auto"/>
            <w:jc w:val="right"/>
          </w:pPr>
          <w:r w:rsidRPr="00A25BBD">
            <w:rPr>
              <w:sz w:val="16"/>
            </w:rPr>
            <w:t xml:space="preserve">| S. </w:t>
          </w:r>
          <w:sdt>
            <w:sdtPr>
              <w:rPr>
                <w:rStyle w:val="Seitenzahl"/>
                <w:sz w:val="16"/>
              </w:rPr>
              <w:id w:val="671145615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Pr="00A25BBD">
                <w:rPr>
                  <w:rStyle w:val="Seitenzahl"/>
                  <w:sz w:val="16"/>
                </w:rPr>
                <w:fldChar w:fldCharType="begin"/>
              </w:r>
              <w:r w:rsidRPr="00A25BBD">
                <w:rPr>
                  <w:rStyle w:val="Seitenzahl"/>
                  <w:sz w:val="16"/>
                </w:rPr>
                <w:instrText xml:space="preserve"> PAGE </w:instrText>
              </w:r>
              <w:r w:rsidRPr="00A25BBD">
                <w:rPr>
                  <w:rStyle w:val="Seitenzahl"/>
                  <w:sz w:val="16"/>
                </w:rPr>
                <w:fldChar w:fldCharType="separate"/>
              </w:r>
              <w:r w:rsidR="00743A99">
                <w:rPr>
                  <w:rStyle w:val="Seitenzahl"/>
                  <w:noProof/>
                  <w:sz w:val="16"/>
                </w:rPr>
                <w:t>2</w:t>
              </w:r>
              <w:r w:rsidRPr="00A25BBD">
                <w:rPr>
                  <w:rStyle w:val="Seitenzahl"/>
                  <w:sz w:val="16"/>
                </w:rPr>
                <w:fldChar w:fldCharType="end"/>
              </w:r>
            </w:sdtContent>
          </w:sdt>
        </w:p>
      </w:tc>
    </w:tr>
  </w:tbl>
  <w:p w:rsidR="00D663A6" w:rsidRDefault="00FC21C2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8B5E36" wp14:editId="78AA18E0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C6C6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CFEE21" id="Gerader Verbinde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" strokecolor="#6c6c6c" strokeweight="1pt">
              <v:stroke joinstyle="miter"/>
              <w10:wrap anchorx="page" anchory="page"/>
            </v:line>
          </w:pict>
        </mc:Fallback>
      </mc:AlternateContent>
    </w:r>
    <w:r w:rsidR="00D663A6"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308952B8" wp14:editId="1F3734BD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A4"/>
    <w:multiLevelType w:val="hybridMultilevel"/>
    <w:tmpl w:val="420C2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68E"/>
    <w:multiLevelType w:val="hybridMultilevel"/>
    <w:tmpl w:val="352408CE"/>
    <w:lvl w:ilvl="0" w:tplc="4CDACA8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52DD"/>
    <w:multiLevelType w:val="hybridMultilevel"/>
    <w:tmpl w:val="A62EBDB0"/>
    <w:lvl w:ilvl="0" w:tplc="2FF4E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226"/>
    <w:multiLevelType w:val="hybridMultilevel"/>
    <w:tmpl w:val="F5DEC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6F1D"/>
    <w:multiLevelType w:val="hybridMultilevel"/>
    <w:tmpl w:val="B370650C"/>
    <w:lvl w:ilvl="0" w:tplc="6BFC28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75B80"/>
    <w:multiLevelType w:val="hybridMultilevel"/>
    <w:tmpl w:val="38CC485C"/>
    <w:lvl w:ilvl="0" w:tplc="9602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08E8"/>
    <w:multiLevelType w:val="hybridMultilevel"/>
    <w:tmpl w:val="C5669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E13B6"/>
    <w:multiLevelType w:val="hybridMultilevel"/>
    <w:tmpl w:val="C20A9EE6"/>
    <w:lvl w:ilvl="0" w:tplc="A6A20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5187"/>
    <w:multiLevelType w:val="hybridMultilevel"/>
    <w:tmpl w:val="CEE81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E61BA"/>
    <w:multiLevelType w:val="hybridMultilevel"/>
    <w:tmpl w:val="DF4CF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253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0268F"/>
    <w:multiLevelType w:val="hybridMultilevel"/>
    <w:tmpl w:val="041ACCC6"/>
    <w:lvl w:ilvl="0" w:tplc="6A443B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265AA"/>
    <w:multiLevelType w:val="hybridMultilevel"/>
    <w:tmpl w:val="14B24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Landwirtschaftliche Erzeugung"/>
    <w:docVar w:name="Buero" w:val="307"/>
    <w:docVar w:name="Bundesland" w:val="Landwirtschaftsamt"/>
    <w:docVar w:name="Email" w:val="Oliver.Bumann@LRAKN.de"/>
    <w:docVar w:name="Firma" w:val="Landratsamt Konstanz"/>
    <w:docVar w:name="Nachname" w:val="Bumann"/>
    <w:docVar w:name="Ort" w:val="Stockach"/>
    <w:docVar w:name="Postfach" w:val="21.3"/>
    <w:docVar w:name="Postleitzahl" w:val="78333"/>
    <w:docVar w:name="Rufnummer" w:val="+49 7531 800-2920"/>
    <w:docVar w:name="RufnummernFax" w:val="+49 7531 800-2903"/>
    <w:docVar w:name="RufnummernIPTelefon" w:val="21.3"/>
    <w:docVar w:name="Strasse" w:val="Winterspürer Straße 25"/>
    <w:docVar w:name="Vorname" w:val="Oliver"/>
    <w:docVar w:name="Webseite" w:val="www.LRAKN.de"/>
  </w:docVars>
  <w:rsids>
    <w:rsidRoot w:val="00640331"/>
    <w:rsid w:val="0005085D"/>
    <w:rsid w:val="00072E23"/>
    <w:rsid w:val="000B3B38"/>
    <w:rsid w:val="000B5303"/>
    <w:rsid w:val="000C699A"/>
    <w:rsid w:val="000C7BAD"/>
    <w:rsid w:val="000D1AC8"/>
    <w:rsid w:val="00106C63"/>
    <w:rsid w:val="0015551C"/>
    <w:rsid w:val="001773CC"/>
    <w:rsid w:val="00186211"/>
    <w:rsid w:val="0019080D"/>
    <w:rsid w:val="002A231A"/>
    <w:rsid w:val="003806D5"/>
    <w:rsid w:val="003941C4"/>
    <w:rsid w:val="003947DE"/>
    <w:rsid w:val="003A44AB"/>
    <w:rsid w:val="003F21C8"/>
    <w:rsid w:val="004323D6"/>
    <w:rsid w:val="00437CC8"/>
    <w:rsid w:val="0046748D"/>
    <w:rsid w:val="00474066"/>
    <w:rsid w:val="004E4998"/>
    <w:rsid w:val="004F0F04"/>
    <w:rsid w:val="005033FB"/>
    <w:rsid w:val="005179EB"/>
    <w:rsid w:val="00532C25"/>
    <w:rsid w:val="005A2046"/>
    <w:rsid w:val="005F62A2"/>
    <w:rsid w:val="005F7B21"/>
    <w:rsid w:val="006000FA"/>
    <w:rsid w:val="00640331"/>
    <w:rsid w:val="00671608"/>
    <w:rsid w:val="006725F7"/>
    <w:rsid w:val="00683E2C"/>
    <w:rsid w:val="006E541C"/>
    <w:rsid w:val="006E60EE"/>
    <w:rsid w:val="00740D73"/>
    <w:rsid w:val="00743A99"/>
    <w:rsid w:val="007739F4"/>
    <w:rsid w:val="00781EAD"/>
    <w:rsid w:val="007A4D95"/>
    <w:rsid w:val="007B3951"/>
    <w:rsid w:val="007D008C"/>
    <w:rsid w:val="007D072B"/>
    <w:rsid w:val="007E1143"/>
    <w:rsid w:val="007E3E54"/>
    <w:rsid w:val="007E65D7"/>
    <w:rsid w:val="007F01AD"/>
    <w:rsid w:val="007F1F11"/>
    <w:rsid w:val="0081187E"/>
    <w:rsid w:val="0081321C"/>
    <w:rsid w:val="00817ACF"/>
    <w:rsid w:val="00874FEE"/>
    <w:rsid w:val="00894889"/>
    <w:rsid w:val="008A3377"/>
    <w:rsid w:val="008B70C0"/>
    <w:rsid w:val="008F73EC"/>
    <w:rsid w:val="00914E38"/>
    <w:rsid w:val="00957BBC"/>
    <w:rsid w:val="0099798C"/>
    <w:rsid w:val="009C02CE"/>
    <w:rsid w:val="009C499A"/>
    <w:rsid w:val="00A008B4"/>
    <w:rsid w:val="00A221E3"/>
    <w:rsid w:val="00AC748E"/>
    <w:rsid w:val="00AC7DD7"/>
    <w:rsid w:val="00AD1F35"/>
    <w:rsid w:val="00AD75E6"/>
    <w:rsid w:val="00AE003F"/>
    <w:rsid w:val="00AE26CA"/>
    <w:rsid w:val="00AF2EF2"/>
    <w:rsid w:val="00B16CB5"/>
    <w:rsid w:val="00B260F1"/>
    <w:rsid w:val="00B57E3C"/>
    <w:rsid w:val="00B923C4"/>
    <w:rsid w:val="00B9684C"/>
    <w:rsid w:val="00BB0EBB"/>
    <w:rsid w:val="00BF6DB7"/>
    <w:rsid w:val="00C152AF"/>
    <w:rsid w:val="00C505CD"/>
    <w:rsid w:val="00C74BCA"/>
    <w:rsid w:val="00C87127"/>
    <w:rsid w:val="00CA3302"/>
    <w:rsid w:val="00CA4F4B"/>
    <w:rsid w:val="00CA5167"/>
    <w:rsid w:val="00CD149E"/>
    <w:rsid w:val="00CF071B"/>
    <w:rsid w:val="00D16B7D"/>
    <w:rsid w:val="00D2235A"/>
    <w:rsid w:val="00D24053"/>
    <w:rsid w:val="00D30A41"/>
    <w:rsid w:val="00D528C4"/>
    <w:rsid w:val="00D663A6"/>
    <w:rsid w:val="00D913DF"/>
    <w:rsid w:val="00D954F2"/>
    <w:rsid w:val="00DC1694"/>
    <w:rsid w:val="00DC38C8"/>
    <w:rsid w:val="00E05321"/>
    <w:rsid w:val="00E22463"/>
    <w:rsid w:val="00E2312C"/>
    <w:rsid w:val="00E57E26"/>
    <w:rsid w:val="00EB6C4D"/>
    <w:rsid w:val="00ED2C66"/>
    <w:rsid w:val="00ED7943"/>
    <w:rsid w:val="00EE561B"/>
    <w:rsid w:val="00EE709D"/>
    <w:rsid w:val="00FC21C2"/>
    <w:rsid w:val="00FC7B55"/>
    <w:rsid w:val="00FE0BCF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B141D-E15E-42ED-B670-4EEDF11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87127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lang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74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1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748D"/>
    <w:rPr>
      <w:rFonts w:asciiTheme="majorHAnsi" w:eastAsiaTheme="majorEastAsia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187E"/>
    <w:rPr>
      <w:rFonts w:asciiTheme="majorHAnsi" w:eastAsiaTheme="majorEastAsia" w:hAnsiTheme="majorHAnsi" w:cstheme="majorBidi"/>
      <w:sz w:val="26"/>
      <w:szCs w:val="26"/>
    </w:rPr>
  </w:style>
  <w:style w:type="table" w:styleId="Tabellenraster">
    <w:name w:val="Table Grid"/>
    <w:basedOn w:val="NormaleTabelle"/>
    <w:uiPriority w:val="59"/>
    <w:rsid w:val="00C87127"/>
    <w:rPr>
      <w:rFonts w:ascii="Calibri" w:eastAsiaTheme="minorEastAsia" w:hAnsi="Calibri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63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3A6"/>
    <w:rPr>
      <w:rFonts w:ascii="Calibri" w:eastAsia="Calibri" w:hAnsi="Calibri" w:cs="Calibri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8712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7127"/>
    <w:rPr>
      <w:rFonts w:ascii="Calibri" w:eastAsia="Calibri" w:hAnsi="Calibri" w:cs="Calibri"/>
      <w:sz w:val="16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D663A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1"/>
    <w:qFormat/>
    <w:rsid w:val="00D663A6"/>
    <w:pPr>
      <w:ind w:left="433" w:hanging="1866"/>
    </w:pPr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D663A6"/>
    <w:rPr>
      <w:color w:val="808080"/>
    </w:rPr>
  </w:style>
  <w:style w:type="character" w:styleId="Seitenzahl">
    <w:name w:val="page number"/>
    <w:basedOn w:val="Absatz-Standardschriftart"/>
    <w:uiPriority w:val="99"/>
    <w:semiHidden/>
    <w:unhideWhenUsed/>
    <w:rsid w:val="00D663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3A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3A6"/>
    <w:rPr>
      <w:rFonts w:ascii="Lucida Grande" w:eastAsia="Calibri" w:hAnsi="Lucida Grande" w:cs="Lucida Grande"/>
      <w:sz w:val="18"/>
      <w:szCs w:val="18"/>
      <w:lang w:eastAsia="de-DE" w:bidi="de-DE"/>
    </w:rPr>
  </w:style>
  <w:style w:type="paragraph" w:customStyle="1" w:styleId="StandardText">
    <w:name w:val="Standard Text"/>
    <w:uiPriority w:val="1"/>
    <w:qFormat/>
    <w:rsid w:val="005F62A2"/>
    <w:rPr>
      <w:rFonts w:ascii="Calibri" w:eastAsia="Calibri" w:hAnsi="Calibri" w:cs="Calibri"/>
      <w:color w:val="000000" w:themeColor="text1"/>
      <w:szCs w:val="20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D663A6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63A6"/>
    <w:rPr>
      <w:rFonts w:ascii="Calibri" w:eastAsia="Calibri" w:hAnsi="Calibri" w:cs="Calibri"/>
      <w:sz w:val="20"/>
      <w:szCs w:val="20"/>
      <w:lang w:eastAsia="de-DE" w:bidi="de-DE"/>
    </w:rPr>
  </w:style>
  <w:style w:type="table" w:styleId="EinfacheTabelle1">
    <w:name w:val="Plain Table 1"/>
    <w:basedOn w:val="NormaleTabelle"/>
    <w:uiPriority w:val="41"/>
    <w:rsid w:val="00C87127"/>
    <w:rPr>
      <w:rFonts w:ascii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C87127"/>
    <w:rPr>
      <w:rFonts w:ascii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Absatz-Standardschriftart"/>
    <w:rsid w:val="00E22463"/>
  </w:style>
  <w:style w:type="paragraph" w:customStyle="1" w:styleId="Default">
    <w:name w:val="Default"/>
    <w:rsid w:val="009C02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iefkopf\Dokumentenvorlagen\Briefkopf_Standard_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F6A3716E54358AB306D2501B77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C007A-4254-4A02-99E7-AC99BD5D3C41}"/>
      </w:docPartPr>
      <w:docPartBody>
        <w:p w:rsidR="003E1C80" w:rsidRDefault="003E1C80">
          <w:pPr>
            <w:pStyle w:val="0B3F6A3716E54358AB306D2501B77470"/>
          </w:pPr>
          <w:r w:rsidRPr="00DA4A39">
            <w:rPr>
              <w:rStyle w:val="Platzhaltertext"/>
            </w:rPr>
            <w:t>[Thema]</w:t>
          </w:r>
        </w:p>
      </w:docPartBody>
    </w:docPart>
    <w:docPart>
      <w:docPartPr>
        <w:name w:val="74B34482E3BA4F7D89C25AE6966B6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10311-C3B4-4473-AB08-4DFAB2DF128B}"/>
      </w:docPartPr>
      <w:docPartBody>
        <w:p w:rsidR="003E1C80" w:rsidRDefault="003E1C80">
          <w:pPr>
            <w:pStyle w:val="74B34482E3BA4F7D89C25AE6966B673D"/>
          </w:pPr>
          <w:r w:rsidRPr="00742982">
            <w:rPr>
              <w:rStyle w:val="Platzhaltertext"/>
            </w:rPr>
            <w:t>[Thema]</w:t>
          </w:r>
        </w:p>
      </w:docPartBody>
    </w:docPart>
    <w:docPart>
      <w:docPartPr>
        <w:name w:val="25DC784EE131489F8FAC1A5897C42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8352A-5A0F-4F05-99D9-061D605BA7C7}"/>
      </w:docPartPr>
      <w:docPartBody>
        <w:p w:rsidR="003E1C80" w:rsidRDefault="003E1C80">
          <w:pPr>
            <w:pStyle w:val="25DC784EE131489F8FAC1A5897C428C9"/>
          </w:pPr>
          <w:r w:rsidRPr="00742982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0"/>
    <w:rsid w:val="003E1C80"/>
    <w:rsid w:val="003F3C50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B3F6A3716E54358AB306D2501B77470">
    <w:name w:val="0B3F6A3716E54358AB306D2501B77470"/>
  </w:style>
  <w:style w:type="paragraph" w:customStyle="1" w:styleId="36E3F7B4E28B4BA78A54A24CF3C62F5E">
    <w:name w:val="36E3F7B4E28B4BA78A54A24CF3C62F5E"/>
  </w:style>
  <w:style w:type="paragraph" w:customStyle="1" w:styleId="74B34482E3BA4F7D89C25AE6966B673D">
    <w:name w:val="74B34482E3BA4F7D89C25AE6966B673D"/>
  </w:style>
  <w:style w:type="paragraph" w:customStyle="1" w:styleId="25DC784EE131489F8FAC1A5897C428C9">
    <w:name w:val="25DC784EE131489F8FAC1A5897C42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Briefkopf_Standard_AD.dotx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AZ: 000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AZ: 000</dc:title>
  <dc:subject>Pflanzenbauhinweise vom 11.04.2024 (KW 15)</dc:subject>
  <dc:creator>Bumann, Oliver</dc:creator>
  <cp:keywords/>
  <dc:description/>
  <cp:lastModifiedBy>Renner, Cornelia</cp:lastModifiedBy>
  <cp:revision>2</cp:revision>
  <cp:lastPrinted>2020-11-18T08:26:00Z</cp:lastPrinted>
  <dcterms:created xsi:type="dcterms:W3CDTF">2024-04-12T05:34:00Z</dcterms:created>
  <dcterms:modified xsi:type="dcterms:W3CDTF">2024-04-12T05:34:00Z</dcterms:modified>
</cp:coreProperties>
</file>